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123CC7"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распоряжения </w:t>
      </w:r>
      <w:r w:rsidR="00123CC7" w:rsidRPr="00FC6B8D">
        <w:rPr>
          <w:sz w:val="24"/>
          <w:szCs w:val="24"/>
        </w:rPr>
        <w:t xml:space="preserve">№ </w:t>
      </w:r>
      <w:r w:rsidR="00FC6B8D" w:rsidRPr="00FC6B8D">
        <w:rPr>
          <w:sz w:val="24"/>
          <w:szCs w:val="24"/>
        </w:rPr>
        <w:t>199</w:t>
      </w:r>
      <w:r w:rsidR="00123CC7" w:rsidRPr="00FC6B8D">
        <w:rPr>
          <w:sz w:val="24"/>
          <w:szCs w:val="24"/>
        </w:rPr>
        <w:t xml:space="preserve">-р от </w:t>
      </w:r>
      <w:r w:rsidR="00FC6B8D" w:rsidRPr="00FC6B8D">
        <w:rPr>
          <w:sz w:val="24"/>
          <w:szCs w:val="24"/>
        </w:rPr>
        <w:t>31</w:t>
      </w:r>
      <w:r w:rsidR="00123CC7" w:rsidRPr="00FC6B8D">
        <w:rPr>
          <w:sz w:val="24"/>
          <w:szCs w:val="24"/>
        </w:rPr>
        <w:t>.0</w:t>
      </w:r>
      <w:r w:rsidR="00FC6B8D" w:rsidRPr="00FC6B8D">
        <w:rPr>
          <w:sz w:val="24"/>
          <w:szCs w:val="24"/>
        </w:rPr>
        <w:t>5</w:t>
      </w:r>
      <w:r w:rsidR="00123CC7" w:rsidRPr="00FC6B8D">
        <w:rPr>
          <w:sz w:val="24"/>
          <w:szCs w:val="24"/>
        </w:rPr>
        <w:t xml:space="preserve">.2023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563E22" w:rsidRDefault="00591AB4" w:rsidP="00591AB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563E22" w:rsidRPr="00563E22">
        <w:rPr>
          <w:sz w:val="24"/>
          <w:szCs w:val="24"/>
        </w:rPr>
        <w:t>Земельный участок из земель сельскохозяйственного назначения, общей площадью 80255 кв.м., с кадастровым номером 32:12:0130502:117, расположенный по адресу: Российская Федерация, Брянская область, Климовский муниципальный район, сельское поселение Митьковское, разрешенное использование: выращивание зерновых и иных сельскохозяйственных культур.</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D12435" w:rsidRDefault="00591AB4" w:rsidP="00591AB4">
      <w:pPr>
        <w:ind w:firstLine="709"/>
        <w:jc w:val="both"/>
        <w:rPr>
          <w:sz w:val="24"/>
          <w:szCs w:val="24"/>
        </w:rPr>
      </w:pPr>
      <w:r w:rsidRPr="00D12435">
        <w:rPr>
          <w:sz w:val="24"/>
          <w:szCs w:val="24"/>
        </w:rPr>
        <w:t xml:space="preserve">Начальная (стартовая) цена – </w:t>
      </w:r>
      <w:r w:rsidR="00563E22">
        <w:rPr>
          <w:sz w:val="24"/>
          <w:szCs w:val="24"/>
        </w:rPr>
        <w:t>175758</w:t>
      </w:r>
      <w:r w:rsidRPr="00D12435">
        <w:rPr>
          <w:sz w:val="24"/>
          <w:szCs w:val="24"/>
        </w:rPr>
        <w:t xml:space="preserve"> руб. </w:t>
      </w:r>
      <w:r w:rsidR="00563E22">
        <w:rPr>
          <w:sz w:val="24"/>
          <w:szCs w:val="24"/>
        </w:rPr>
        <w:t>45</w:t>
      </w:r>
      <w:r w:rsidRPr="00D12435">
        <w:rPr>
          <w:sz w:val="24"/>
          <w:szCs w:val="24"/>
        </w:rPr>
        <w:t xml:space="preserve"> коп. (без НДС), шаг аукциона (3%) – </w:t>
      </w:r>
      <w:r w:rsidR="00563E22">
        <w:rPr>
          <w:sz w:val="24"/>
          <w:szCs w:val="24"/>
        </w:rPr>
        <w:t>5272</w:t>
      </w:r>
      <w:r w:rsidR="00D12435" w:rsidRPr="00D12435">
        <w:rPr>
          <w:sz w:val="24"/>
          <w:szCs w:val="24"/>
        </w:rPr>
        <w:t xml:space="preserve"> </w:t>
      </w:r>
      <w:r w:rsidRPr="00D12435">
        <w:rPr>
          <w:sz w:val="24"/>
          <w:szCs w:val="24"/>
        </w:rPr>
        <w:t xml:space="preserve">руб. </w:t>
      </w:r>
      <w:r w:rsidR="00563E22">
        <w:rPr>
          <w:sz w:val="24"/>
          <w:szCs w:val="24"/>
        </w:rPr>
        <w:t>75</w:t>
      </w:r>
      <w:r w:rsidRPr="00D12435">
        <w:rPr>
          <w:sz w:val="24"/>
          <w:szCs w:val="24"/>
        </w:rPr>
        <w:t xml:space="preserve"> коп.</w:t>
      </w:r>
    </w:p>
    <w:p w:rsidR="00591AB4" w:rsidRPr="00D12435" w:rsidRDefault="00591AB4" w:rsidP="00591AB4">
      <w:pPr>
        <w:ind w:firstLine="709"/>
        <w:jc w:val="both"/>
        <w:rPr>
          <w:sz w:val="24"/>
          <w:szCs w:val="24"/>
        </w:rPr>
      </w:pPr>
      <w:r w:rsidRPr="00D12435">
        <w:rPr>
          <w:sz w:val="24"/>
          <w:szCs w:val="24"/>
        </w:rPr>
        <w:t xml:space="preserve">Задаток (30%) – </w:t>
      </w:r>
      <w:r w:rsidR="00563E22">
        <w:rPr>
          <w:sz w:val="24"/>
          <w:szCs w:val="24"/>
        </w:rPr>
        <w:t>52727</w:t>
      </w:r>
      <w:r w:rsidRPr="00D12435">
        <w:rPr>
          <w:sz w:val="24"/>
          <w:szCs w:val="24"/>
        </w:rPr>
        <w:t xml:space="preserve"> руб. </w:t>
      </w:r>
      <w:r w:rsidR="00563E22">
        <w:rPr>
          <w:sz w:val="24"/>
          <w:szCs w:val="24"/>
        </w:rPr>
        <w:t>5</w:t>
      </w:r>
      <w:r w:rsidRPr="00D12435">
        <w:rPr>
          <w:sz w:val="24"/>
          <w:szCs w:val="24"/>
        </w:rPr>
        <w:t>0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2170A2" w:rsidRDefault="002170A2" w:rsidP="002170A2">
      <w:pPr>
        <w:pStyle w:val="a5"/>
        <w:ind w:firstLine="567"/>
        <w:rPr>
          <w:sz w:val="24"/>
          <w:szCs w:val="24"/>
        </w:rPr>
      </w:pPr>
      <w:r w:rsidRPr="002170A2">
        <w:rPr>
          <w:sz w:val="24"/>
          <w:szCs w:val="24"/>
        </w:rPr>
        <w:t xml:space="preserve">Ограничения использования земельных участков: в рамках действующего законодательства Российской Федерации. </w:t>
      </w:r>
    </w:p>
    <w:p w:rsidR="00C867ED" w:rsidRPr="00C867ED" w:rsidRDefault="00C867ED" w:rsidP="00C867ED">
      <w:pPr>
        <w:pStyle w:val="a5"/>
        <w:ind w:firstLine="567"/>
        <w:rPr>
          <w:sz w:val="24"/>
          <w:szCs w:val="24"/>
        </w:rPr>
      </w:pPr>
      <w:r w:rsidRPr="00C867ED">
        <w:rPr>
          <w:sz w:val="24"/>
          <w:szCs w:val="24"/>
        </w:rPr>
        <w:t>Ограничения прав на земельный участок, предусмотренные статьей 56 Земельного кодекса Российской Федерации:</w:t>
      </w:r>
      <w:r>
        <w:rPr>
          <w:sz w:val="24"/>
          <w:szCs w:val="24"/>
        </w:rPr>
        <w:t xml:space="preserve"> </w:t>
      </w:r>
      <w:r w:rsidRPr="00C867ED">
        <w:rPr>
          <w:sz w:val="24"/>
          <w:szCs w:val="24"/>
        </w:rPr>
        <w:t>Охранная зона инженерных</w:t>
      </w:r>
      <w:r>
        <w:rPr>
          <w:sz w:val="24"/>
          <w:szCs w:val="24"/>
        </w:rPr>
        <w:t xml:space="preserve"> </w:t>
      </w:r>
      <w:r w:rsidRPr="00C867ED">
        <w:rPr>
          <w:sz w:val="24"/>
          <w:szCs w:val="24"/>
        </w:rPr>
        <w:t>коммуникаций</w:t>
      </w:r>
      <w:r>
        <w:rPr>
          <w:sz w:val="24"/>
          <w:szCs w:val="24"/>
        </w:rPr>
        <w:t>.</w:t>
      </w:r>
      <w:r>
        <w:rPr>
          <w:sz w:val="24"/>
          <w:szCs w:val="24"/>
        </w:rPr>
        <w:t xml:space="preserve"> </w:t>
      </w:r>
      <w:bookmarkStart w:id="0" w:name="_GoBack"/>
      <w:bookmarkEnd w:id="0"/>
      <w:r w:rsidRPr="00C867ED">
        <w:rPr>
          <w:sz w:val="24"/>
          <w:szCs w:val="24"/>
        </w:rPr>
        <w:t>Содержание ограничения</w:t>
      </w:r>
      <w:r>
        <w:rPr>
          <w:sz w:val="24"/>
          <w:szCs w:val="24"/>
        </w:rPr>
        <w:t xml:space="preserve"> </w:t>
      </w:r>
      <w:r w:rsidRPr="00C867ED">
        <w:rPr>
          <w:sz w:val="24"/>
          <w:szCs w:val="24"/>
        </w:rPr>
        <w:t>(обременения): Правила установления охранных зон объектов электросетевого хозяйства и особых условий использования</w:t>
      </w:r>
      <w:r>
        <w:rPr>
          <w:sz w:val="24"/>
          <w:szCs w:val="24"/>
        </w:rPr>
        <w:t xml:space="preserve"> </w:t>
      </w:r>
      <w:r w:rsidRPr="00C867ED">
        <w:rPr>
          <w:sz w:val="24"/>
          <w:szCs w:val="24"/>
        </w:rPr>
        <w:t>земельных участков, расположенных в границах таких зон утверждены Постановлением Правительства РФ от 24.02.2009г.</w:t>
      </w:r>
      <w:r>
        <w:rPr>
          <w:sz w:val="24"/>
          <w:szCs w:val="24"/>
        </w:rPr>
        <w:t xml:space="preserve"> </w:t>
      </w:r>
      <w:r w:rsidRPr="00C867ED">
        <w:rPr>
          <w:sz w:val="24"/>
          <w:szCs w:val="24"/>
        </w:rPr>
        <w:t>№160. «III. Правила охраны электрических сетей, размещенных на земельных участках</w:t>
      </w:r>
      <w:r>
        <w:rPr>
          <w:sz w:val="24"/>
          <w:szCs w:val="24"/>
        </w:rPr>
        <w:t xml:space="preserve">. </w:t>
      </w:r>
      <w:r w:rsidRPr="00C867ED">
        <w:rPr>
          <w:sz w:val="24"/>
          <w:szCs w:val="24"/>
        </w:rPr>
        <w:t>Реестровый номер границы:</w:t>
      </w:r>
      <w:r>
        <w:rPr>
          <w:sz w:val="24"/>
          <w:szCs w:val="24"/>
        </w:rPr>
        <w:t xml:space="preserve"> </w:t>
      </w:r>
      <w:r w:rsidRPr="00C867ED">
        <w:rPr>
          <w:sz w:val="24"/>
          <w:szCs w:val="24"/>
        </w:rPr>
        <w:t>32:12-6.201; Вид объекта реестра границ: Зона с особыми условиями использования территории; Вид зоны по документу:</w:t>
      </w:r>
      <w:r>
        <w:rPr>
          <w:sz w:val="24"/>
          <w:szCs w:val="24"/>
        </w:rPr>
        <w:t xml:space="preserve"> </w:t>
      </w:r>
      <w:r w:rsidRPr="00C867ED">
        <w:rPr>
          <w:sz w:val="24"/>
          <w:szCs w:val="24"/>
        </w:rPr>
        <w:t xml:space="preserve">Охранная зона ВЛ-10кВ Ф.116 ПС Климово Хохловка Климовский район Брянской области; </w:t>
      </w:r>
    </w:p>
    <w:p w:rsidR="002170A2" w:rsidRDefault="002170A2" w:rsidP="002170A2">
      <w:pPr>
        <w:pStyle w:val="a5"/>
        <w:ind w:firstLine="567"/>
        <w:rPr>
          <w:sz w:val="24"/>
          <w:szCs w:val="24"/>
        </w:rPr>
      </w:pPr>
      <w:r w:rsidRPr="002170A2">
        <w:rPr>
          <w:sz w:val="24"/>
          <w:szCs w:val="24"/>
        </w:rPr>
        <w:t>Основное разрешенное использование земельных участков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 xml:space="preserve">При использовании земельных участков,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w:t>
      </w:r>
      <w:r w:rsidRPr="00263DEA">
        <w:rPr>
          <w:sz w:val="24"/>
          <w:szCs w:val="24"/>
        </w:rPr>
        <w:lastRenderedPageBreak/>
        <w:t>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591AB4" w:rsidRPr="00591AB4">
        <w:rPr>
          <w:b/>
        </w:rPr>
        <w:t>23</w:t>
      </w:r>
      <w:r w:rsidRPr="004813B2">
        <w:rPr>
          <w:b/>
        </w:rPr>
        <w:t>.</w:t>
      </w:r>
      <w:r w:rsidRPr="00263DEA">
        <w:rPr>
          <w:b/>
        </w:rPr>
        <w:t>0</w:t>
      </w:r>
      <w:r>
        <w:rPr>
          <w:b/>
        </w:rPr>
        <w:t>6</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Pr="00C5450C">
        <w:rPr>
          <w:b/>
        </w:rPr>
        <w:t>24.07.2023г.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686650">
        <w:rPr>
          <w:b/>
        </w:rPr>
        <w:t>25</w:t>
      </w:r>
      <w:r w:rsidRPr="00A27CE7">
        <w:rPr>
          <w:b/>
        </w:rPr>
        <w:t>.0</w:t>
      </w:r>
      <w:r>
        <w:rPr>
          <w:b/>
        </w:rPr>
        <w:t>7</w:t>
      </w:r>
      <w:r w:rsidRPr="00A27CE7">
        <w:rPr>
          <w:b/>
        </w:rPr>
        <w:t>.2023</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936F6">
        <w:rPr>
          <w:b/>
        </w:rPr>
        <w:t xml:space="preserve">28.07.2023г. 10-00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w:t>
      </w:r>
      <w:r w:rsidRPr="00263DEA">
        <w:lastRenderedPageBreak/>
        <w:t>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lastRenderedPageBreak/>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w:t>
      </w:r>
      <w:r w:rsidRPr="00263DEA">
        <w:lastRenderedPageBreak/>
        <w:t xml:space="preserve">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462911" w:rsidRDefault="00462911" w:rsidP="00462911">
      <w:pPr>
        <w:jc w:val="right"/>
        <w:rPr>
          <w:sz w:val="24"/>
          <w:szCs w:val="24"/>
        </w:rPr>
      </w:pPr>
      <w:r>
        <w:rPr>
          <w:sz w:val="24"/>
          <w:szCs w:val="24"/>
        </w:rPr>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 xml:space="preserve">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w:t>
      </w:r>
      <w:r w:rsidRPr="006B4344">
        <w:rPr>
          <w:sz w:val="24"/>
          <w:szCs w:val="24"/>
        </w:rPr>
        <w:lastRenderedPageBreak/>
        <w:t>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Pr>
          <w:sz w:val="22"/>
          <w:szCs w:val="22"/>
        </w:rPr>
        <w:t>3</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Pr>
          <w:sz w:val="22"/>
          <w:szCs w:val="22"/>
        </w:rPr>
        <w:t>3</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lastRenderedPageBreak/>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w:t>
      </w:r>
      <w:r w:rsidRPr="002302D6">
        <w:rPr>
          <w:sz w:val="22"/>
          <w:szCs w:val="22"/>
        </w:rPr>
        <w:lastRenderedPageBreak/>
        <w:t>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EF" w:rsidRDefault="00EA2BEF">
      <w:r>
        <w:separator/>
      </w:r>
    </w:p>
  </w:endnote>
  <w:endnote w:type="continuationSeparator" w:id="0">
    <w:p w:rsidR="00EA2BEF" w:rsidRDefault="00EA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867ED">
      <w:rPr>
        <w:rStyle w:val="aa"/>
        <w:noProof/>
      </w:rPr>
      <w:t>12</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EF" w:rsidRDefault="00EA2BEF">
      <w:r>
        <w:separator/>
      </w:r>
    </w:p>
  </w:footnote>
  <w:footnote w:type="continuationSeparator" w:id="0">
    <w:p w:rsidR="00EA2BEF" w:rsidRDefault="00EA2B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10D98"/>
    <w:rsid w:val="00023C24"/>
    <w:rsid w:val="000248F6"/>
    <w:rsid w:val="0002703D"/>
    <w:rsid w:val="000320B2"/>
    <w:rsid w:val="00035199"/>
    <w:rsid w:val="00043B3C"/>
    <w:rsid w:val="00045FE1"/>
    <w:rsid w:val="000473C1"/>
    <w:rsid w:val="00047B87"/>
    <w:rsid w:val="0005393E"/>
    <w:rsid w:val="0005475D"/>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595D"/>
    <w:rsid w:val="001D20CD"/>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11A9D"/>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3E22"/>
    <w:rsid w:val="005650EC"/>
    <w:rsid w:val="00580A46"/>
    <w:rsid w:val="00581763"/>
    <w:rsid w:val="005829AE"/>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431C"/>
    <w:rsid w:val="00696766"/>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5339"/>
    <w:rsid w:val="00BA07FA"/>
    <w:rsid w:val="00BA1EC9"/>
    <w:rsid w:val="00BA5813"/>
    <w:rsid w:val="00BB0D55"/>
    <w:rsid w:val="00BB39C4"/>
    <w:rsid w:val="00BB545B"/>
    <w:rsid w:val="00BD1314"/>
    <w:rsid w:val="00BE01A5"/>
    <w:rsid w:val="00BE02C4"/>
    <w:rsid w:val="00BE5C00"/>
    <w:rsid w:val="00BF1230"/>
    <w:rsid w:val="00BF42A4"/>
    <w:rsid w:val="00C0191A"/>
    <w:rsid w:val="00C03E4C"/>
    <w:rsid w:val="00C10612"/>
    <w:rsid w:val="00C15E7C"/>
    <w:rsid w:val="00C22049"/>
    <w:rsid w:val="00C2220E"/>
    <w:rsid w:val="00C2496A"/>
    <w:rsid w:val="00C27C3F"/>
    <w:rsid w:val="00C316CA"/>
    <w:rsid w:val="00C3448E"/>
    <w:rsid w:val="00C416C4"/>
    <w:rsid w:val="00C43627"/>
    <w:rsid w:val="00C503DD"/>
    <w:rsid w:val="00C5450C"/>
    <w:rsid w:val="00C550CA"/>
    <w:rsid w:val="00C569AA"/>
    <w:rsid w:val="00C62A16"/>
    <w:rsid w:val="00C647CA"/>
    <w:rsid w:val="00C67E2C"/>
    <w:rsid w:val="00C726A0"/>
    <w:rsid w:val="00C74C14"/>
    <w:rsid w:val="00C8144B"/>
    <w:rsid w:val="00C82D45"/>
    <w:rsid w:val="00C85633"/>
    <w:rsid w:val="00C86232"/>
    <w:rsid w:val="00C867ED"/>
    <w:rsid w:val="00C94CA2"/>
    <w:rsid w:val="00C95ECB"/>
    <w:rsid w:val="00C95F4D"/>
    <w:rsid w:val="00C97621"/>
    <w:rsid w:val="00C97DD3"/>
    <w:rsid w:val="00CA27E9"/>
    <w:rsid w:val="00CA3B2C"/>
    <w:rsid w:val="00CA70F0"/>
    <w:rsid w:val="00CB3EAB"/>
    <w:rsid w:val="00CB59C7"/>
    <w:rsid w:val="00CC438C"/>
    <w:rsid w:val="00CC577B"/>
    <w:rsid w:val="00CC7D0A"/>
    <w:rsid w:val="00CD1AE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5DC5"/>
    <w:rsid w:val="00DF279B"/>
    <w:rsid w:val="00DF62B6"/>
    <w:rsid w:val="00DF6ED1"/>
    <w:rsid w:val="00E02360"/>
    <w:rsid w:val="00E07B50"/>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A16EC"/>
    <w:rsid w:val="00EA2BEF"/>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C7E9B"/>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EF828"/>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4529-62F9-4DB6-80F8-24744E37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6047</Words>
  <Characters>34472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40439</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4</cp:revision>
  <cp:lastPrinted>2019-05-23T08:26:00Z</cp:lastPrinted>
  <dcterms:created xsi:type="dcterms:W3CDTF">2023-06-15T10:42:00Z</dcterms:created>
  <dcterms:modified xsi:type="dcterms:W3CDTF">2023-06-19T09:54:00Z</dcterms:modified>
</cp:coreProperties>
</file>